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6305E3">
      <w:pPr>
        <w:ind w:right="-180"/>
        <w:jc w:val="center"/>
        <w:rPr>
          <w:rtl/>
        </w:rPr>
      </w:pPr>
    </w:p>
    <w:p w:rsidR="000D6CFA" w:rsidRDefault="00A937B9" w:rsidP="008E066E">
      <w:pPr>
        <w:ind w:right="-360"/>
        <w:jc w:val="center"/>
        <w:rPr>
          <w:rFonts w:cs="Arial"/>
          <w:b/>
          <w:bCs/>
          <w:sz w:val="32"/>
          <w:szCs w:val="32"/>
          <w:rtl/>
        </w:rPr>
      </w:pPr>
      <w:r w:rsidRPr="00A937B9">
        <w:rPr>
          <w:rFonts w:cs="Arial"/>
          <w:b/>
          <w:bCs/>
          <w:sz w:val="32"/>
          <w:szCs w:val="32"/>
        </w:rPr>
        <w:t>Employer Evaluation Survey</w:t>
      </w:r>
      <w:bookmarkStart w:id="0" w:name="_GoBack"/>
      <w:bookmarkEnd w:id="0"/>
    </w:p>
    <w:p w:rsidR="00A937B9" w:rsidRPr="008E066E" w:rsidRDefault="00A937B9" w:rsidP="008E066E">
      <w:pPr>
        <w:ind w:right="-360"/>
        <w:jc w:val="center"/>
        <w:rPr>
          <w:b/>
          <w:bCs/>
          <w:sz w:val="32"/>
          <w:szCs w:val="32"/>
          <w:rtl/>
        </w:rPr>
      </w:pPr>
    </w:p>
    <w:tbl>
      <w:tblPr>
        <w:tblStyle w:val="GridTable4-Accent5"/>
        <w:tblpPr w:leftFromText="180" w:rightFromText="180" w:vertAnchor="text" w:tblpXSpec="center" w:tblpY="1"/>
        <w:tblOverlap w:val="never"/>
        <w:tblW w:w="6217" w:type="pct"/>
        <w:jc w:val="center"/>
        <w:tblLook w:val="04A0" w:firstRow="1" w:lastRow="0" w:firstColumn="1" w:lastColumn="0" w:noHBand="0" w:noVBand="1"/>
      </w:tblPr>
      <w:tblGrid>
        <w:gridCol w:w="1667"/>
        <w:gridCol w:w="4271"/>
        <w:gridCol w:w="974"/>
        <w:gridCol w:w="754"/>
        <w:gridCol w:w="627"/>
        <w:gridCol w:w="1011"/>
        <w:gridCol w:w="1011"/>
      </w:tblGrid>
      <w:tr w:rsidR="00B22EF7" w:rsidRPr="00B22EF7" w:rsidTr="00FE7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Measures</w:t>
            </w: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Statements</w:t>
            </w:r>
          </w:p>
        </w:tc>
        <w:tc>
          <w:tcPr>
            <w:tcW w:w="472" w:type="pc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B22EF7">
              <w:rPr>
                <w:rFonts w:ascii="Calibri" w:eastAsia="Times New Roman" w:hAnsi="Calibri" w:cs="Times New Roman"/>
                <w:color w:val="000000"/>
              </w:rPr>
              <w:br/>
              <w:t>agree</w:t>
            </w:r>
          </w:p>
        </w:tc>
        <w:tc>
          <w:tcPr>
            <w:tcW w:w="365" w:type="pc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304" w:type="pc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490" w:type="pc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490" w:type="pc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B22EF7">
              <w:rPr>
                <w:rFonts w:ascii="Calibri" w:eastAsia="Times New Roman" w:hAnsi="Calibri" w:cs="Times New Roman"/>
                <w:color w:val="000000"/>
              </w:rPr>
              <w:br/>
              <w:t>Disagree</w:t>
            </w: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Knowledge</w:t>
            </w: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has high technical education level in the area of work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understands the ethical and professional liabilities in the major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comprehends the role and the impact of the discipline in the national context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has good English language skills (if demanded by employment)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Perceptual Skills</w:t>
            </w: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can identify and describe the problems and recommend appropriate solutions to them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can gather and analyze information and give alternatives solutions to solve the problems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have the ability to relate theory with application in the domain of work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Communication Skills</w:t>
            </w: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is able to orally communicate and converse in the field of work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is able to prepare reports in the field of work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is able participate in group discussions and work in a team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Students were briefed about the university mission which goes well with the nature of its activities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Students services and university resources are consistent with the university mission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lastRenderedPageBreak/>
              <w:t>Personal Proficiencies- Competencies</w:t>
            </w: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has leadership skills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has loyalty to the institution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has the skills of understanding and grasping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enjoys the capacity of independent thinking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enjoys the capacity of critical thinking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has the drive to work and develop continuous learning in the domain of work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can adapt to modern technology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Students are aware of the university policies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Institution provides information about the programs, offered courses and its services to the students before registration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Institution provides academic advising to the students before registration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The institution takes the graduates feedback regarding university future plans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Employment Skills - Competences</w:t>
            </w: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has the capacity to grasp the nature of the institution work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can undertake efficiently the tasks assigned to him/her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provide creative ideas that enhance the work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accepts the duty for overtimes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respects the due dates and job discipline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is able to manage time efficiently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has adequate knowledge of safety and security fundamentals in the area of work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Graduate has creativity skills and innovative thinking in the domain of work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Field training programs for students and/or internships are consistent with the student major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The institution emphasized the importance of continuous long</w:t>
            </w:r>
            <w:r w:rsidR="004A270C"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</w:t>
            </w:r>
            <w:r w:rsidRPr="00B22EF7">
              <w:rPr>
                <w:rFonts w:ascii="Calibri" w:eastAsia="Times New Roman" w:hAnsi="Calibri" w:cs="Times New Roman"/>
                <w:color w:val="000000"/>
              </w:rPr>
              <w:t>life learning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The institution has helped me in developing the knowledge and skills necessary for my profession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The institution has prepared me ethically for the job market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Overall Evaluation</w:t>
            </w: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Would you employ graduates from this institution again?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Institution provided all students with a manual containing all conduct codes that determines the student rights and liabilities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Complaining students are not subject to punishment or injustice or discrimination against them because of their grievance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Evaluation of the student by the staff members is fairly done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Staff members allowed the students to discuss their exam performance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F7" w:rsidRPr="00B22EF7" w:rsidTr="00FE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1" w:type="pct"/>
            <w:vAlign w:val="center"/>
            <w:hideMark/>
          </w:tcPr>
          <w:p w:rsidR="00B22EF7" w:rsidRPr="00B22EF7" w:rsidRDefault="00B22EF7" w:rsidP="00FE721B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EF7">
              <w:rPr>
                <w:rFonts w:ascii="Calibri" w:eastAsia="Times New Roman" w:hAnsi="Calibri" w:cs="Times New Roman"/>
                <w:color w:val="000000"/>
              </w:rPr>
              <w:t>Guidance were available for me (if needed)</w:t>
            </w:r>
          </w:p>
        </w:tc>
        <w:tc>
          <w:tcPr>
            <w:tcW w:w="472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22EF7" w:rsidRPr="00B22EF7" w:rsidRDefault="00B22EF7" w:rsidP="00FE72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2D8" w:rsidRPr="00B22EF7" w:rsidRDefault="004742D8" w:rsidP="00A937B9">
      <w:pPr>
        <w:jc w:val="right"/>
        <w:rPr>
          <w:rtl/>
        </w:rPr>
      </w:pPr>
    </w:p>
    <w:sectPr w:rsidR="004742D8" w:rsidRPr="00B22EF7" w:rsidSect="006305E3">
      <w:headerReference w:type="default" r:id="rId7"/>
      <w:footerReference w:type="default" r:id="rId8"/>
      <w:pgSz w:w="11906" w:h="16838"/>
      <w:pgMar w:top="242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E6" w:rsidRDefault="007F44E6" w:rsidP="000B5FA7">
      <w:pPr>
        <w:spacing w:after="0" w:line="240" w:lineRule="auto"/>
      </w:pPr>
      <w:r>
        <w:separator/>
      </w:r>
    </w:p>
  </w:endnote>
  <w:endnote w:type="continuationSeparator" w:id="0">
    <w:p w:rsidR="007F44E6" w:rsidRDefault="007F44E6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21B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21B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E6" w:rsidRDefault="007F44E6" w:rsidP="000B5FA7">
      <w:pPr>
        <w:spacing w:after="0" w:line="240" w:lineRule="auto"/>
      </w:pPr>
      <w:r>
        <w:separator/>
      </w:r>
    </w:p>
  </w:footnote>
  <w:footnote w:type="continuationSeparator" w:id="0">
    <w:p w:rsidR="007F44E6" w:rsidRDefault="007F44E6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11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2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0D6CFA"/>
    <w:rsid w:val="00196375"/>
    <w:rsid w:val="001B160A"/>
    <w:rsid w:val="001B2A1B"/>
    <w:rsid w:val="001C29EB"/>
    <w:rsid w:val="001C669B"/>
    <w:rsid w:val="001C696B"/>
    <w:rsid w:val="001D204B"/>
    <w:rsid w:val="00221DAC"/>
    <w:rsid w:val="00295E50"/>
    <w:rsid w:val="002A24C0"/>
    <w:rsid w:val="002B0CD5"/>
    <w:rsid w:val="0034239F"/>
    <w:rsid w:val="003435E3"/>
    <w:rsid w:val="0036206C"/>
    <w:rsid w:val="00397DD3"/>
    <w:rsid w:val="003C0817"/>
    <w:rsid w:val="003C2E4A"/>
    <w:rsid w:val="003F535A"/>
    <w:rsid w:val="004644DF"/>
    <w:rsid w:val="004742D8"/>
    <w:rsid w:val="00485994"/>
    <w:rsid w:val="004A270C"/>
    <w:rsid w:val="004D6844"/>
    <w:rsid w:val="004E3120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305E3"/>
    <w:rsid w:val="006D3F47"/>
    <w:rsid w:val="006E311F"/>
    <w:rsid w:val="00747E06"/>
    <w:rsid w:val="00751340"/>
    <w:rsid w:val="00773A56"/>
    <w:rsid w:val="007B054C"/>
    <w:rsid w:val="007B10AD"/>
    <w:rsid w:val="007D3A95"/>
    <w:rsid w:val="007F44E6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C1CE9"/>
    <w:rsid w:val="00A10E7A"/>
    <w:rsid w:val="00A150CD"/>
    <w:rsid w:val="00A22CC6"/>
    <w:rsid w:val="00A275A3"/>
    <w:rsid w:val="00A43F6D"/>
    <w:rsid w:val="00A937B9"/>
    <w:rsid w:val="00AA5FD3"/>
    <w:rsid w:val="00AE36D6"/>
    <w:rsid w:val="00B22EF7"/>
    <w:rsid w:val="00B65D8B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328AB"/>
    <w:rsid w:val="00F33684"/>
    <w:rsid w:val="00F64D35"/>
    <w:rsid w:val="00F67C25"/>
    <w:rsid w:val="00F73CAC"/>
    <w:rsid w:val="00FA666F"/>
    <w:rsid w:val="00FC1450"/>
    <w:rsid w:val="00FD2CDC"/>
    <w:rsid w:val="00FE721B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5</cp:revision>
  <cp:lastPrinted>2019-02-17T07:30:00Z</cp:lastPrinted>
  <dcterms:created xsi:type="dcterms:W3CDTF">2019-02-18T09:04:00Z</dcterms:created>
  <dcterms:modified xsi:type="dcterms:W3CDTF">2019-02-18T09:16:00Z</dcterms:modified>
</cp:coreProperties>
</file>